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00F6" w14:textId="74CEC55A" w:rsidR="00891A81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5F446" wp14:editId="6B87B5A1">
            <wp:simplePos x="0" y="0"/>
            <wp:positionH relativeFrom="margin">
              <wp:posOffset>1375575</wp:posOffset>
            </wp:positionH>
            <wp:positionV relativeFrom="paragraph">
              <wp:posOffset>-477713</wp:posOffset>
            </wp:positionV>
            <wp:extent cx="3094505" cy="1945916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505" cy="194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2FD3F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45A435D6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2030DC0D" w14:textId="7777777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1CC472CF" w14:textId="7777777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2560E5C5" w14:textId="7777777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7D5E7E60" w14:textId="2BF64E06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231BFC65" w14:textId="7777777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3AC60099" w14:textId="7777777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6B31A401" w14:textId="2D233571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ZBIÓR WYMAGAŃ DLA MODUŁÓW WYTWARZANIA ENERGII TYPU A, W TYM MIKROINSTALACJI</w:t>
      </w:r>
    </w:p>
    <w:p w14:paraId="09BE7680" w14:textId="3E8941A4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32A7FD15" w14:textId="1190F2BC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00BCCB46" w14:textId="65CF0003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51406D26" w14:textId="2FA82BFD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61AC52F0" w14:textId="2AF6ACB6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544C8EB1" w14:textId="180B0E92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7B3AAA96" w14:textId="14AF3B80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218A4C7B" w14:textId="51A4E040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3D3BE1B9" w14:textId="3D4F5451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276286A9" w14:textId="09D4D611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45250764" w14:textId="3899708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717EC5C7" w14:textId="27766239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03A2F329" w14:textId="1D572631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3360E56A" w14:textId="274DF584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74D092E8" w14:textId="00A0B2D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2FF98C97" w14:textId="13935653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1663687D" w14:textId="7EAC3353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2F39EA48" w14:textId="5BDD9669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5EE01435" w14:textId="55741BD4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625C8767" w14:textId="12C37022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6EB18989" w14:textId="77777777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4328B168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1554AB50" w14:textId="6A6D9A1F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09"/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Niniejszy dokument stanowi zbiorcze zestawienie wymagań dla modułów wytwarzania energii typu A (tj. o mocy od 0,8 kW do 200 kW), w tym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określonych w: </w:t>
      </w:r>
    </w:p>
    <w:p w14:paraId="6C3CD1DC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335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Kodeksie sieci dotyczącym wymogów w zakresie przyłączenia jednostek wytwórczych do sieci, wprowadzonym Rozporządzeniem Komisji (UE) 2016/631 z dnia 14.04.2016 roku (Kodeks Sieci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RfG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), </w:t>
      </w:r>
    </w:p>
    <w:p w14:paraId="744BCECB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35" w:right="34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wymogach ogólnego stosowania opracowanych na podstawie Kodeksu Sieci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RfG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</w:t>
      </w:r>
    </w:p>
    <w:p w14:paraId="1B4934EA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35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Instrukcji Ruchu i Eksploatacji Sieci Dystrybucyjnej Operatora Systemu Dystrybucyjnego (OSD). </w:t>
      </w:r>
    </w:p>
    <w:p w14:paraId="627FAF86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7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Definicje: </w:t>
      </w:r>
    </w:p>
    <w:p w14:paraId="577DA290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709" w:right="-2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moduł wytwarzania energii - synchroniczny moduł wytwarzania energii albo moduł </w:t>
      </w:r>
    </w:p>
    <w:p w14:paraId="1AB57E23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993" w:right="-3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parku energii; </w:t>
      </w:r>
    </w:p>
    <w:p w14:paraId="14417382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09" w:right="-3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b) synchroniczny moduł wytwarzania energii - niepodzielny zestaw instalacji, który może wytwarzać energię elektryczną w taki sposób, że częstotliwość generowanego napięcia, prędkość wirowania generatora oraz częstotliwość napięcia sieciowego pozostają w stałej proporcji i są tym samym zsynchronizowane; </w:t>
      </w:r>
    </w:p>
    <w:p w14:paraId="452FF275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09" w:right="-3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c) moduł parku energii - jednostka lub zestaw jednostek wytwarzających energię elektryczną, która(-y) jest przyłączona(-y) do sieci w sposób niesynchroniczny lub poprzez układy energoelektroniki i która(-y) ma również jeden punkt przyłączenia do systemu przesyłowego, systemu dystrybucyjnego, w tym zamkniętego systemu dystrybucyjnego, lub systemu HVDC; </w:t>
      </w:r>
    </w:p>
    <w:p w14:paraId="3C60B044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09" w:right="-3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d)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statyzm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- wyrażany w procentach współczynnik quasi-stacjonarnego odchylenia częstotliwości do wynikającej z tego odchylenia zmiany generowanej mocy czynnej w stanie ustalonym. Zmianę częstotliwości wyraża się jako stosunek do częstotliwości znamionowej, a zmianę mocy czynnej jako stosunek do mocy maksymalnej lub rzeczywistej mocy czynnej w momencie wystąpienia tego odchylenia; </w:t>
      </w:r>
    </w:p>
    <w:p w14:paraId="74B75C1E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09" w:right="-3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e) tryb LFSM-O - tryb pracy modułu wytwarzania energii lub systemu HVDC, w którym generowana moc czynna zmniejsza się w odpowiedzi na wzrost częstotliwości systemu powyżej określonej wartości; f) moc maksymalna - maksymalna wartość mocy czynnej, którą moduł wytwarzania energii jest w stanie generować w sposób ciągły, pomniejszona o każde zapotrzebowanie związane wyłącznie z pracą tego modułu wytwarzania energii i niewprowadzane do sieci, jak określono w umowie przyłączeniowej lub jak uzgodnili właściwy operator systemu i właściciel zakładu wytwarzania energii; </w:t>
      </w:r>
    </w:p>
    <w:p w14:paraId="436C34F9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09" w:right="-3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g) zakład wytwarzania energii - zakład, który przekształca energię pierwotną w energię elektryczną i który składa się z jednego modułu wytwarzania energii lub z większej liczby modułów wytwarzania energii przyłączonych do sieci w co najmniej jednym punkcie przyłączenia; </w:t>
      </w:r>
    </w:p>
    <w:p w14:paraId="43E5D49E" w14:textId="542C52AA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709" w:right="-33" w:hanging="2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h) właściciel zakładu wytwarzania – osoba fizyczna lub osoba prawna będąca </w:t>
      </w:r>
    </w:p>
    <w:p w14:paraId="631A9101" w14:textId="03AE7BB9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96" w:right="421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właścicielem zakładu wytwarzania energii. </w:t>
      </w:r>
    </w:p>
    <w:p w14:paraId="57CD1131" w14:textId="71196C59" w:rsidR="00A1490F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96" w:right="421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775E9395" w14:textId="77777777" w:rsidR="00A1490F" w:rsidRPr="00234096" w:rsidRDefault="00A1490F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96" w:right="421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0D39CAE1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7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Wymagania: </w:t>
      </w:r>
    </w:p>
    <w:p w14:paraId="7D28C259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35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1. Moduły wytwarzania typu A muszą spełniać następujące wymogi stabilności </w:t>
      </w:r>
    </w:p>
    <w:p w14:paraId="0F89CCE5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9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częstotliwościowej: </w:t>
      </w:r>
    </w:p>
    <w:p w14:paraId="1FB4BB68" w14:textId="29391FE8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9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w odniesieniu do zakresów częstotliwości moduł wytwarzania energii musi mieć zdolność do zachowania połączenia z siecią oraz pracy w zakresach częstotliwości i okresach określonych w poniższej tabeli: </w:t>
      </w:r>
    </w:p>
    <w:p w14:paraId="73864DFC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69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noProof/>
        </w:rPr>
        <w:drawing>
          <wp:inline distT="0" distB="0" distL="0" distR="0" wp14:anchorId="11061028" wp14:editId="30A67A71">
            <wp:extent cx="42291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A826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69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b) w odniesieniu do zdolności wytrzymania prędkości zmiany częstotliwości, moduł wytwarzania energii musi mieć zdolność do zachowania połączenia z siecią oraz do pracy przy prędkościach zmiany częstotliwości nie większych niż 2,0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/s (gdzie wartość ta mierzona jest jako wartość średnia w przesuwnym oknie pomiarowym o długości 500 ms), chyba że odłączenie zostało spowodowane zadziałaniem zabezpieczenia dedykowanego do identyfikacji, poprzez analizę prędkości zmian częstotliwości, pracy wyspowej. Wymóg 2,0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/s jest wymaganiem minimalnym. W przypadku, gdy wykorzystywana technologia umożliwia połączenie z siecią oraz pracę przy większych wartościach prędkości zmian częstotliwości, nie jest dopuszczalne ograniczanie pracy modułu wytwarzania energii do wielkości zdefiniowanej powyżej, o ile nie wynika to z uzgodnionej nastawy zabezpieczenia od pracy wyspowej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LoM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(ang. Lost of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Mains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–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LoM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). </w:t>
      </w:r>
    </w:p>
    <w:p w14:paraId="50C166FC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335" w:right="1219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2. W odniesieniu do trybu LFSM-O zastosowanie mają następujące zasady: </w:t>
      </w:r>
    </w:p>
    <w:p w14:paraId="2698BFB2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69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moduł wytwarzania energii musi mieć zdolność do aktywowania rezerwy mocy czynnej w odpowiedzi na wzrost częstotliwości zgodnie z rys. 1, przy następujących parametrach progu częstotliwości i ustawieniach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statyzmu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: </w:t>
      </w:r>
    </w:p>
    <w:p w14:paraId="4CFEDA98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416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zdolność do ustawienia progu częstotliwości trybu LFSM-O w zakresie: 50,2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– 50,5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wartość domyślna 50,2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</w:t>
      </w:r>
    </w:p>
    <w:p w14:paraId="18212DE5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41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zdolność do ustawienia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statyzmu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trybu LFSM–O w zakresie: 2 – 12%, wartość domyślna 5%, </w:t>
      </w:r>
    </w:p>
    <w:p w14:paraId="7FE0CFEA" w14:textId="3ADF0074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41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dla modułów parków energii wartość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P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>ref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 xml:space="preserve">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oznacza moc czynną maksymalną. Należy zapewnić możliwość wyboru ustawienia na polecenie Operatora Systemu Przesyłowego (OSP), progu częstotliwości aktywacji trybu LFSM-O oraz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statyzmu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w wymaganym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zakresie. </w:t>
      </w:r>
    </w:p>
    <w:p w14:paraId="7CC43080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105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6E953AC4" w14:textId="4BEA762B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Niezależnie od nadrzędności wartości zadanej mocy trybu LFSM-O, należy zapewnić: możliwość blokowania trybu LFSM-O oraz zdolność do realizacji pracy interwencyjnej z wartościami zadanymi wskazanymi przez właściwego operatora systemu. </w:t>
      </w:r>
    </w:p>
    <w:p w14:paraId="6DFC6DA8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-2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pl-PL"/>
        </w:rPr>
      </w:pPr>
      <w:r>
        <w:rPr>
          <w:noProof/>
        </w:rPr>
        <w:drawing>
          <wp:inline distT="0" distB="0" distL="0" distR="0" wp14:anchorId="7DB40575" wp14:editId="7E42537C">
            <wp:extent cx="5943600" cy="4164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BB00" w14:textId="77777777" w:rsidR="00891A81" w:rsidRPr="00A05184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696" w:right="-2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pl-PL"/>
        </w:rPr>
      </w:pPr>
      <w:r w:rsidRPr="00A05184">
        <w:rPr>
          <w:rStyle w:val="fontstyle01"/>
          <w:lang w:val="pl-PL"/>
        </w:rPr>
        <w:t>Rys. 1. Zdolność modułów wytwarzania energii do odpowiedzi częstotliwościowej mocy</w:t>
      </w:r>
      <w:r w:rsidRPr="00A05184">
        <w:rPr>
          <w:rFonts w:ascii="CIDFont+F2" w:hAnsi="CIDFont+F2"/>
          <w:i/>
          <w:iCs/>
          <w:color w:val="000000"/>
          <w:sz w:val="20"/>
          <w:szCs w:val="20"/>
          <w:lang w:val="pl-PL"/>
        </w:rPr>
        <w:br/>
      </w:r>
      <w:r w:rsidRPr="00A05184">
        <w:rPr>
          <w:rStyle w:val="fontstyle01"/>
          <w:lang w:val="pl-PL"/>
        </w:rPr>
        <w:t>czynnej w trybie LFSM-O</w:t>
      </w:r>
    </w:p>
    <w:p w14:paraId="2B9D90F2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709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proofErr w:type="spellStart"/>
      <w:r w:rsidRPr="00A05184">
        <w:rPr>
          <w:rFonts w:ascii="Times New Roman" w:eastAsia="Times New Roman" w:hAnsi="Times New Roman" w:cs="Times New Roman"/>
          <w:color w:val="000000"/>
          <w:lang w:val="pl-PL"/>
        </w:rPr>
        <w:t>Pref</w:t>
      </w:r>
      <w:proofErr w:type="spellEnd"/>
      <w:r w:rsidRPr="00A05184">
        <w:rPr>
          <w:rFonts w:ascii="Times New Roman" w:eastAsia="Times New Roman" w:hAnsi="Times New Roman" w:cs="Times New Roman"/>
          <w:color w:val="000000"/>
          <w:lang w:val="pl-PL"/>
        </w:rPr>
        <w:t xml:space="preserve"> oznacza moc czynną maksymalną, z którą związane jest ΔΡ, ΔΡ oznacza zmianę generowanej mocy czynnej modułu wytwarzania energii, </w:t>
      </w:r>
      <w:proofErr w:type="spellStart"/>
      <w:r w:rsidRPr="00A05184">
        <w:rPr>
          <w:rFonts w:ascii="Times New Roman" w:eastAsia="Times New Roman" w:hAnsi="Times New Roman" w:cs="Times New Roman"/>
          <w:color w:val="000000"/>
          <w:lang w:val="pl-PL"/>
        </w:rPr>
        <w:t>fn</w:t>
      </w:r>
      <w:proofErr w:type="spellEnd"/>
      <w:r w:rsidRPr="00A05184">
        <w:rPr>
          <w:rFonts w:ascii="Times New Roman" w:eastAsia="Times New Roman" w:hAnsi="Times New Roman" w:cs="Times New Roman"/>
          <w:color w:val="000000"/>
          <w:lang w:val="pl-PL"/>
        </w:rPr>
        <w:t xml:space="preserve"> oznacza częstotliwość znamionową (50 </w:t>
      </w:r>
      <w:proofErr w:type="spellStart"/>
      <w:r w:rsidRPr="00A05184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A05184">
        <w:rPr>
          <w:rFonts w:ascii="Times New Roman" w:eastAsia="Times New Roman" w:hAnsi="Times New Roman" w:cs="Times New Roman"/>
          <w:color w:val="000000"/>
          <w:lang w:val="pl-PL"/>
        </w:rPr>
        <w:t xml:space="preserve">) sieci, </w:t>
      </w:r>
      <w:proofErr w:type="spellStart"/>
      <w:r w:rsidRPr="00A05184">
        <w:rPr>
          <w:rFonts w:ascii="Times New Roman" w:eastAsia="Times New Roman" w:hAnsi="Times New Roman" w:cs="Times New Roman"/>
          <w:color w:val="000000"/>
          <w:lang w:val="pl-PL"/>
        </w:rPr>
        <w:t>Δf</w:t>
      </w:r>
      <w:proofErr w:type="spellEnd"/>
      <w:r w:rsidRPr="00A05184">
        <w:rPr>
          <w:rFonts w:ascii="Times New Roman" w:eastAsia="Times New Roman" w:hAnsi="Times New Roman" w:cs="Times New Roman"/>
          <w:color w:val="000000"/>
          <w:lang w:val="pl-PL"/>
        </w:rPr>
        <w:t xml:space="preserve"> oznacza odchylenie częstotliwości sieci. Przy wzrostach częstotliwości, gdy wartość </w:t>
      </w:r>
      <w:proofErr w:type="spellStart"/>
      <w:r w:rsidRPr="00A05184">
        <w:rPr>
          <w:rFonts w:ascii="Times New Roman" w:eastAsia="Times New Roman" w:hAnsi="Times New Roman" w:cs="Times New Roman"/>
          <w:color w:val="000000"/>
          <w:lang w:val="pl-PL"/>
        </w:rPr>
        <w:t>Δf</w:t>
      </w:r>
      <w:proofErr w:type="spellEnd"/>
      <w:r w:rsidRPr="00A05184">
        <w:rPr>
          <w:rFonts w:ascii="Times New Roman" w:eastAsia="Times New Roman" w:hAnsi="Times New Roman" w:cs="Times New Roman"/>
          <w:color w:val="000000"/>
          <w:lang w:val="pl-PL"/>
        </w:rPr>
        <w:t xml:space="preserve"> jest powyżej wartości Δf1 moduł wytwarzania energii musi zapewniać redukcję generowanej mocy czynnej zgodnie z wartością </w:t>
      </w:r>
      <w:proofErr w:type="spellStart"/>
      <w:r w:rsidRPr="00A05184">
        <w:rPr>
          <w:rFonts w:ascii="Times New Roman" w:eastAsia="Times New Roman" w:hAnsi="Times New Roman" w:cs="Times New Roman"/>
          <w:color w:val="000000"/>
          <w:lang w:val="pl-PL"/>
        </w:rPr>
        <w:t>statyzmu</w:t>
      </w:r>
      <w:proofErr w:type="spellEnd"/>
      <w:r w:rsidRPr="00A05184">
        <w:rPr>
          <w:rFonts w:ascii="Times New Roman" w:eastAsia="Times New Roman" w:hAnsi="Times New Roman" w:cs="Times New Roman"/>
          <w:color w:val="000000"/>
          <w:lang w:val="pl-PL"/>
        </w:rPr>
        <w:t xml:space="preserve"> S2.</w:t>
      </w:r>
    </w:p>
    <w:p w14:paraId="56CE5241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709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A05184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b) nie dopuszcza się wyłączania modułów wytwarzania energii typu A zamiast zapewniania zdolności do trybu LFSM-O. Powyższe rozstrzygniecie nie wyklucza przystosowania modułów wytwarzania energii typu A do trybu LFSM-O poprzez stopniowe wyłączanie poszczególnych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źródeł wytwórczych wchodzących w skład modułu wytwarzania energii, w szczególności modułu parku energii; </w:t>
      </w:r>
    </w:p>
    <w:p w14:paraId="5B9B2DDE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709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c) moduł wytwarzania energii musi mieć zdolność do aktywowania mocy w odpowiedzi na zmianę częstotliwości, przy jak najkrótszej zwłoce początkowej. Jeżeli powyższa zwłoka wynosi więcej niż dwie sekundy, właściciel zakładu wytwarzania energii musi ją uzasadnić, przedstawiając właściwemu OSP uzasadnienie techniczne; </w:t>
      </w:r>
    </w:p>
    <w:p w14:paraId="4436663F" w14:textId="348B35C9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709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d) wymaga się, aby po osiągnięciu minimalnego poziomu regulacji w trybie LFSM-O, moduł wytwarzania energii miał zdolność do stabilnej pracy na tym poziomie. Nie </w:t>
      </w:r>
    </w:p>
    <w:p w14:paraId="75FD6888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wymaga się pracy poniżej minimalnego poziomu regulacji, o ile taki wymóg nie został określony indywidualnie w ramach przystosowania modułu wytwarzania energii do pracy wyspowej. Redukcja mocy czynnej modułu parku energii wynikająca z pracy w trybie LFSM-O jest realizowana od wartości wyjściowej mocy czynnej w momencie osiągnięcia progu aktywacji trybu LFSM-O do wartości mocy wynikającej z charakterystyki statycznej trybu LFSM-O, o ile nie nastąpiło zmniejszenie mocy; e) moduł wytwarzania energii musi mieć zdolność do stabilnej pracy podczas pracy w trybie LFSM-O. Kiedy tryb LFSM- O jest aktywny, nastawa LFSM-O jest nadrzędna w stosunku do wszystkich innych aktywowanych nastaw mocy czynnej. </w:t>
      </w:r>
    </w:p>
    <w:p w14:paraId="15A02DF5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3. Moduł wytwarzania energii musi mieć zdolność do utrzymania stałej generowanej mocy na poziomie docelowym zadanej wartości mocy czynnej bez względu na zmiany w częstotliwości, z wyjątkiem przypadków, gdy generowana moc podlega zmianom określonym w kontekście, odpowiednio, ust. 2 powyżej i ust. 4 poniżej. </w:t>
      </w:r>
    </w:p>
    <w:p w14:paraId="678E381A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4. Dopuszczalna redukcja mocy czynnej w stosunku do maksymalnej generowanej mocy (zdefiniowanej przy częstotliwości 50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), przy zmniejszającej się częstotliwości wynosi: </w:t>
      </w:r>
    </w:p>
    <w:p w14:paraId="03525425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a)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dla synchronicznych modułów wytwarzania energii z wyłączeniem synchronicznych modułów wytwarzania energii, o których mowa w punkcie b) poniżej: 10% mocy maksymalnej na 1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przy spadku częstotliwości poniżej częstotliwości 49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(rys. 2); </w:t>
      </w:r>
    </w:p>
    <w:p w14:paraId="329EA639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b)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dla synchronicznych modułów wytwarzania energii typu blok gazowy lub gazowo- parowy: 4% mocy maksymalnej na 1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przy spadku częstotliwości poniżej częstotliwości 49,5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(rys. 3); </w:t>
      </w:r>
    </w:p>
    <w:p w14:paraId="3D0FCFEB" w14:textId="0872AE8A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c)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dla modułów parku energii: 2% mocy maksymalnej na 1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przy spadku częstotliwości poniżej częstotliwości 49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(rys. 4). </w:t>
      </w:r>
    </w:p>
    <w:p w14:paraId="1DDF4113" w14:textId="77777777" w:rsidR="00B461EA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both"/>
        <w:rPr>
          <w:lang w:val="pl-PL"/>
        </w:rPr>
      </w:pPr>
      <w:r w:rsidRPr="00A05184">
        <w:rPr>
          <w:rFonts w:ascii="Times New Roman" w:eastAsia="Times New Roman" w:hAnsi="Times New Roman" w:cs="Times New Roman"/>
          <w:color w:val="000000"/>
          <w:lang w:val="pl-PL"/>
        </w:rPr>
        <w:t>W przypadku, gdy dany moduł wytwarzania energii może pracować z mniejszą</w:t>
      </w:r>
      <w:r w:rsidRPr="00A05184">
        <w:rPr>
          <w:rFonts w:ascii="Times New Roman" w:eastAsia="Times New Roman" w:hAnsi="Times New Roman" w:cs="Times New Roman"/>
          <w:color w:val="000000"/>
          <w:lang w:val="pl-PL"/>
        </w:rPr>
        <w:br/>
        <w:t>redukcją mocy, powinien taką pracę zapewnić (dotyczy to w szczególności modułów</w:t>
      </w:r>
      <w:r w:rsidRPr="00A05184">
        <w:rPr>
          <w:rFonts w:ascii="Times New Roman" w:eastAsia="Times New Roman" w:hAnsi="Times New Roman" w:cs="Times New Roman"/>
          <w:color w:val="000000"/>
          <w:lang w:val="pl-PL"/>
        </w:rPr>
        <w:br/>
        <w:t>parku energii).</w:t>
      </w:r>
      <w:r w:rsidRPr="00A05184">
        <w:rPr>
          <w:lang w:val="pl-PL"/>
        </w:rPr>
        <w:t xml:space="preserve"> </w:t>
      </w:r>
    </w:p>
    <w:p w14:paraId="22A841E4" w14:textId="0EE5B862" w:rsidR="00891A81" w:rsidRDefault="00891A81" w:rsidP="00A14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center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5189B129" wp14:editId="2856DEE7">
            <wp:extent cx="5470497" cy="3737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77" cy="37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814D" w14:textId="77777777" w:rsidR="00891A81" w:rsidRDefault="00891A81" w:rsidP="00A14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noProof/>
        </w:rPr>
        <w:drawing>
          <wp:inline distT="0" distB="0" distL="0" distR="0" wp14:anchorId="7E02432C" wp14:editId="11D01008">
            <wp:extent cx="4781677" cy="31086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2069" cy="312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26A9" w14:textId="77777777" w:rsidR="00891A81" w:rsidRPr="00A05184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noProof/>
        </w:rPr>
        <w:lastRenderedPageBreak/>
        <w:drawing>
          <wp:inline distT="0" distB="0" distL="0" distR="0" wp14:anchorId="72D48C9D" wp14:editId="5F234557">
            <wp:extent cx="5943600" cy="36937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A459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Zgodnie z art. 13 ust. 5 Kodeksu Sieci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RfG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wymóg dopuszczalnej redukcji mocy czynnej jest określony dla nominalnych warunków otoczenia, które obejmują w szczególności następujące parametry: </w:t>
      </w:r>
    </w:p>
    <w:p w14:paraId="538CA8E5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696" w:right="705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ciśnienie, </w:t>
      </w:r>
    </w:p>
    <w:p w14:paraId="56384CBB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696" w:right="6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temperaturę, </w:t>
      </w:r>
    </w:p>
    <w:p w14:paraId="48E47F38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696" w:right="5889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wilgotność względną. </w:t>
      </w:r>
    </w:p>
    <w:p w14:paraId="00F166A8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 przypadku, gdy parametry otoczenia mają znaczący wpływ na zdolność do generacji mocy maksymalnej, właściciel zakładu wytwarzania energii dostarczy właściwemu operatorowi systemu odpowiednie charakterystyki, identyfikujące te ograniczenia. </w:t>
      </w:r>
    </w:p>
    <w:p w14:paraId="47FBF04E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35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5. Moduł wytwarzania energii musi być wyposażony w interfejs logiczny (port wejściowy), który umożliwi zaprzestanie generacji mocy czynnej w ciągu pięciu sekund od przyjęcia polecenia w porcie wejściowym. </w:t>
      </w:r>
    </w:p>
    <w:p w14:paraId="273EBFCC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335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6. Warunki automatycznego przyłączania modułu wytwarzania energii do sieci (muszą </w:t>
      </w:r>
    </w:p>
    <w:p w14:paraId="2D50C3C9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96" w:right="610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być spełnione łącznie): </w:t>
      </w:r>
    </w:p>
    <w:p w14:paraId="0A61CEF6" w14:textId="1A523891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696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częstotliwość napięcia w sieci mieści się w przedziale od 49,00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do 50,05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Hz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oraz </w:t>
      </w:r>
    </w:p>
    <w:p w14:paraId="654D7022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696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b) zwłoka czasowa (rozumiana jako czas pomiędzy chwilą, w której wartość częstotliwości powraca do przedziału zdefiniowanego powyżej, a momentem załączenia modułu wytwarzania energii do sieci) - co najmniej 60 s, oraz </w:t>
      </w:r>
    </w:p>
    <w:p w14:paraId="66D3AE1A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696" w:right="-19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c) maksymalny dopuszczalny gradient wzrostu generowanej mocy czynnej wynosi </w:t>
      </w:r>
    </w:p>
    <w:p w14:paraId="61CB0EE8" w14:textId="5F50DCA1" w:rsidR="00891A81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056" w:right="450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10% mocy maksymalnej na minutę. </w:t>
      </w:r>
    </w:p>
    <w:p w14:paraId="3C2CF10B" w14:textId="77777777" w:rsidR="00B461EA" w:rsidRPr="00234096" w:rsidRDefault="00B461EA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056" w:right="450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4607D6F6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335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7. Jednostki wytwórcze o mocy zainstalowanej większej niż 3,68 kW przyłączane są do sieci dystrybucyjnej w sposób trójfazowy, z zastrzeżeniem dodatkowych wymagań zawartych w pkt 14 odnośnie sposobu przyłączenia. </w:t>
      </w:r>
    </w:p>
    <w:p w14:paraId="35CE7ECC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35" w:right="388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8. Wymagania w zakresie regulacji mocy biernej </w:t>
      </w:r>
    </w:p>
    <w:p w14:paraId="4DE3335F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686" w:right="5827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8.1. Wymagania ogólne: </w:t>
      </w:r>
    </w:p>
    <w:p w14:paraId="2036A67F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Mikroinstalacja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przyłączona przez falownik musi być zdolna do pracy w normalnych warunkach eksploatacji w paśmie tolerancji napięcia od 0,85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U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>n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 xml:space="preserve">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do 1,1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U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>n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 xml:space="preserve">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z następującą mocą bierną: </w:t>
      </w:r>
    </w:p>
    <w:p w14:paraId="6B9E0796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zgodnie z krzywą charakterystyki zadanej przez OSD w obrębie współczynników przesunięcia fazowego podstawowych harmonicznych napięcia i prądu od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>=0,9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 xml:space="preserve">ind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do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=0,9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>poj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gdzie moc czynna wyjściowa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jest równa 20% znamionowej mocy czynnej lub większa, </w:t>
      </w:r>
    </w:p>
    <w:p w14:paraId="28960133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686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b) bez zmian mocy biernej więcej niż o 10% znamionowej mocy czynnej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</w:p>
    <w:p w14:paraId="1DB8D72C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969" w:right="1867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przy mocy czynnej niższej niż 20% znamionowej mocy czynnej. </w:t>
      </w:r>
    </w:p>
    <w:p w14:paraId="57237E10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686" w:right="347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Wymaganie to przedstawiono poniżej na rys. nr 2. </w:t>
      </w:r>
    </w:p>
    <w:p w14:paraId="07A805CE" w14:textId="77777777" w:rsidR="00891A81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386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noProof/>
        </w:rPr>
        <w:drawing>
          <wp:inline distT="0" distB="0" distL="0" distR="0" wp14:anchorId="6728006E" wp14:editId="04A57666">
            <wp:extent cx="5943600" cy="25857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31BC7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686" w:right="386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8.2. Wymagane tryby regulacji mocy biernej: </w:t>
      </w:r>
    </w:p>
    <w:p w14:paraId="441D7044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686" w:right="51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Mikroinstalacja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ma być zdolna do działania w następujących trybach sterowania: </w:t>
      </w:r>
    </w:p>
    <w:p w14:paraId="3868CBC7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748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sterowanie mocą bierną w funkcji napięcia na zaciskach generatora (tryb Q(U)) </w:t>
      </w:r>
    </w:p>
    <w:p w14:paraId="275E5A6D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108" w:right="5755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jako tryb podstawowy, </w:t>
      </w:r>
    </w:p>
    <w:p w14:paraId="7D1686F3" w14:textId="48DA28A5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748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b) sterowanie współczynnikiem mocy w funkcji generacji mocy czynnej (tryb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(P)), </w:t>
      </w:r>
      <w:r w:rsidR="00B461EA">
        <w:rPr>
          <w:rFonts w:ascii="Times New Roman" w:eastAsia="Times New Roman" w:hAnsi="Times New Roman" w:cs="Times New Roman"/>
          <w:color w:val="000000"/>
          <w:lang w:val="pl-PL"/>
        </w:rPr>
        <w:br/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jako tryb alternatywny, </w:t>
      </w:r>
    </w:p>
    <w:p w14:paraId="6444060C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748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c)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stałe, nastawiane w granicach od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= 0,9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 xml:space="preserve">ind 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do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=0,9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>poj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jako tryb </w:t>
      </w:r>
    </w:p>
    <w:p w14:paraId="20A8D83F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Konfiguracja trybów sterowania oraz ich aktywacja i dezaktywacja ma być możliwa do ustawienia w miejscu zainstalowania falownika. Wymagane jest zapewnienie ochrony przed nieuprawnioną ingerencją w ustawienia trybów pracy - zmiana trybów pracy nie może być dokonana samodzielnie przez właściciela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. </w:t>
      </w:r>
    </w:p>
    <w:p w14:paraId="087CB338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686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8.3. Wymagania w zakresie trybu sterowania wyjściową mocą bierną w funkcji </w:t>
      </w:r>
    </w:p>
    <w:p w14:paraId="32F42604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252" w:right="6216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napięcia - Q(U): </w:t>
      </w:r>
    </w:p>
    <w:p w14:paraId="5B63238B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686" w:right="2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 trybie Q(U) sterowanie odbywa się według krzywych przedstawionych na rys. 3 i 4. </w:t>
      </w:r>
    </w:p>
    <w:p w14:paraId="05577F44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Charakterystyka Q(U) ma być konfigurowalna w celu ewentualnego dostosowania pracy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do warunków napięciowych w miejscu przyłączenia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. Zmiana charakterystyki wymaga uzgodnienia między OSD, a właścicielem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. Dodatkowo, konfigurowalna ma być dynamiczna odpowiedź sterowania, filtr pierwszego rzędu powinien mieć nastawioną stałą czasową na czas 5 s, a czas do osiągnięcia 95% nowej nastawy w wyniku zmiany napięcia ma wynosić 3 stałe czasowe. </w:t>
      </w:r>
    </w:p>
    <w:p w14:paraId="08B9F92C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noProof/>
        </w:rPr>
        <w:drawing>
          <wp:inline distT="0" distB="0" distL="0" distR="0" wp14:anchorId="5ABBD2E3" wp14:editId="72963244">
            <wp:extent cx="4084320" cy="25801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9649" cy="25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8B991" w14:textId="77777777" w:rsidR="00891A81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noProof/>
        </w:rPr>
        <w:lastRenderedPageBreak/>
        <w:drawing>
          <wp:inline distT="0" distB="0" distL="0" distR="0" wp14:anchorId="071358D0" wp14:editId="0C42CBA7">
            <wp:extent cx="5943600" cy="394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CC70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284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8.4. Wymagania w zakresie trybu sterowania współczynnikiem przesunięcia fazowego podstawowych harmonicznych napięcia i prądu w funkcji mocy czynnej generowanej -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(P):</w:t>
      </w:r>
    </w:p>
    <w:p w14:paraId="0196B996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84" w:right="17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 trybie cos </w:t>
      </w:r>
      <w:r>
        <w:rPr>
          <w:rFonts w:ascii="Times New Roman" w:eastAsia="Times New Roman" w:hAnsi="Times New Roman" w:cs="Times New Roman"/>
          <w:color w:val="000000"/>
        </w:rPr>
        <w:t>φ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(P) sterowanie odbywa się, według krzywej przedstawionej na rys. 5. </w:t>
      </w:r>
    </w:p>
    <w:p w14:paraId="0E5A5B41" w14:textId="77777777" w:rsidR="00891A81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84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>Nastawione nowe wartości, wynikające ze zmiany mocy czynnej generowanej, muszą być nastawione w ciągu 10 s. Zaleca się, aby szybkość zmiany mocy biernej następowała w takim samym czasie jak szybkość zmiany mocy czynnej i była zsynchronizowana z szybkością zmiany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mocy czynnej. </w:t>
      </w:r>
    </w:p>
    <w:p w14:paraId="3B6B8317" w14:textId="77777777" w:rsidR="00891A81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68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 </w:t>
      </w:r>
      <w:r>
        <w:rPr>
          <w:noProof/>
        </w:rPr>
        <w:drawing>
          <wp:inline distT="0" distB="0" distL="0" distR="0" wp14:anchorId="798B7FF6" wp14:editId="77B8E657">
            <wp:extent cx="4892040" cy="2945674"/>
            <wp:effectExtent l="0" t="0" r="381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9224" cy="299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FE1AC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9. Wymagania w zakresie wyposażenia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w regulację mocy czynnej </w:t>
      </w:r>
    </w:p>
    <w:p w14:paraId="45714A71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42" w:right="-3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9.1.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Mikroinstalacje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o mocy zainstalowanej większej niż 10 kW powinny być wyposażone w port wejściowy, który umożliwia przyjęcie od OSD polecenia ograniczenia generacji mocy czynnej do sieci elektroenergetycznej oraz polecenia zaprzestania generacji mocy czynnej do sieci elektroenergetycznej. 9.2. W celu uniknięcia całkowitego wyłączenia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spowodowanego zadziałaniem zabezpieczenia nadnapięciowego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zaleca się, aby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mikroinstalacja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posiadała funkcję zmniejszania mocy czynnej generowanej w funkcji wzrostu napięcia. Istotne jest, aby funkcja ta działała dopiero po wyczerpaniu możliwości regulacji napięcia poborem mocy biernej w trybie Q(U) tj. powyżej 1,08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U</w:t>
      </w:r>
      <w:r w:rsidRPr="00234096">
        <w:rPr>
          <w:rFonts w:ascii="Times New Roman" w:eastAsia="Times New Roman" w:hAnsi="Times New Roman" w:cs="Times New Roman"/>
          <w:color w:val="000000"/>
          <w:sz w:val="13"/>
          <w:szCs w:val="13"/>
          <w:lang w:val="pl-PL"/>
        </w:rPr>
        <w:t>n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. Funkcja ta nie może powodować skokowych zmian mocy generowanej. </w:t>
      </w:r>
    </w:p>
    <w:p w14:paraId="2641AB6B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10. </w:t>
      </w:r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W celu spełnienia wymagań określonych w pkt. 5 oraz pkt. 9.1.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mikroinstalacje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powinny być wyposażone w port wejściowy RS485 obsługujący protokół komunikacji SUNSPEC - inny port wejściowy oraz protokół komunikacji wymaga indywidualnego uzgodnienia z OSD. Urządzenia sterujące dostarcza OSD. </w:t>
      </w:r>
    </w:p>
    <w:p w14:paraId="4059DD98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108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11. Wymagania w zakresie wyposażenia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w układ zabezpieczeń </w:t>
      </w:r>
    </w:p>
    <w:p w14:paraId="5296F320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42" w:right="5827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11.1. Wymagania ogólne: </w:t>
      </w:r>
    </w:p>
    <w:p w14:paraId="03F9E37A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42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Mikroinstalacje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powinny posiadać wbudowany układ zabezpieczeń, składający się co najmniej z następujących zabezpieczeń: </w:t>
      </w:r>
    </w:p>
    <w:p w14:paraId="2498726C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42" w:right="268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dwustopniowe zabezpieczenie nadnapięciowe, </w:t>
      </w:r>
    </w:p>
    <w:p w14:paraId="076A6E6E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42" w:right="4147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zabezpieczenie podnapięciowe, </w:t>
      </w:r>
    </w:p>
    <w:p w14:paraId="191B3998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42" w:right="349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• zabezpieczenie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podczęstotliwościowe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</w:t>
      </w:r>
    </w:p>
    <w:p w14:paraId="447D4892" w14:textId="691FC1A5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1555E667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• zabezpieczenie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nadczęstotliwościowe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</w:t>
      </w:r>
    </w:p>
    <w:p w14:paraId="1B74BD56" w14:textId="0254C95C" w:rsidR="00891A81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>• zabezpieczenie od pracy wyspowej (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LoM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). </w:t>
      </w:r>
    </w:p>
    <w:p w14:paraId="09BD8FEA" w14:textId="77777777" w:rsidR="00B461EA" w:rsidRPr="00234096" w:rsidRDefault="00B461EA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68903D65" w14:textId="2547C76E" w:rsidR="00891A81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Nastawy poszczególnych zabezpieczeń muszą być możliwe do ustawienia w miejscu zainstalowania falownika. Wymagane jest zapewnienie ochrony przed nieuprawnioną ingerencją w ustawienia nastaw zabezpieczeń - zmiana nastaw zabezpieczeń nie może być dokonana samodzielnie przez właściciela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. </w:t>
      </w:r>
    </w:p>
    <w:p w14:paraId="4DBA7E55" w14:textId="77777777" w:rsidR="00B461EA" w:rsidRPr="00234096" w:rsidRDefault="00B461EA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00902B87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11.2. Wymagane nastawy układu zabezpieczeń: </w:t>
      </w:r>
    </w:p>
    <w:p w14:paraId="35E299BC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 tabeli nr 1 przedstawiono wymagane nastawy poszczególnych zabezpieczeń, wchodzących w skład układu zabezpieczeń modułu wytwarzania typu A. </w:t>
      </w:r>
    </w:p>
    <w:p w14:paraId="21CF25D4" w14:textId="77777777" w:rsidR="00B461EA" w:rsidRDefault="00B461EA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4FDD61FC" w14:textId="77777777" w:rsidR="00B461EA" w:rsidRDefault="00B461EA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5E17C476" w14:textId="7EC4682C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noProof/>
        </w:rPr>
        <w:drawing>
          <wp:inline distT="0" distB="0" distL="0" distR="0" wp14:anchorId="0B69A00E" wp14:editId="6E2DE3B8">
            <wp:extent cx="5943600" cy="52997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Zabezpieczenia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LoM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wykorzystują uznane techniki, wykrywające w sposób pewny zanik zasilania z sieci dystrybucyjnej. Nie dopuszcza się stosowania zabezpieczeń wykorzystujących metody związane z iniekcją pulsów do sieci dystrybucyjnej. </w:t>
      </w:r>
    </w:p>
    <w:p w14:paraId="50D8C5B2" w14:textId="05154FD0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>11.</w:t>
      </w:r>
      <w:r w:rsidR="00B461EA">
        <w:rPr>
          <w:rFonts w:ascii="Times New Roman" w:eastAsia="Times New Roman" w:hAnsi="Times New Roman" w:cs="Times New Roman"/>
          <w:color w:val="000000"/>
          <w:lang w:val="pl-PL"/>
        </w:rPr>
        <w:t>3</w:t>
      </w: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. Dopuszcza się możliwość pracy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na potrzeby własne instalacji odbiorczej przy zaniku napięcia w sieci OSD. Rozwiązanie takie jest możliwe wyłącznie w przypadku zastosowania w instalacji odbiorczej rozłącznika stwarzającego w sposób automatyczny, na okres braku napięcia w sieci OSD, przerwę izolacyjną pomiędzy instalacją odbiorczą, a siecią OSD. </w:t>
      </w:r>
    </w:p>
    <w:p w14:paraId="27252DE9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693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12. Jakość energii </w:t>
      </w:r>
    </w:p>
    <w:p w14:paraId="585EFADE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Mikroinstalacje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muszą spełniać wymagania norm dotyczących jakości energii wprowadzanej do sieci dystrybucyjnej oraz dyrektyw dotyczących kompatybilności elektromagnetycznej. </w:t>
      </w:r>
    </w:p>
    <w:p w14:paraId="4ECAEB77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right="4579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13. Praca i bezpieczeństwo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</w:p>
    <w:p w14:paraId="59B825BF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84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13.1. Nastawy zadanych wartości, możliwych do ustawienia w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muszą być możliwe do odczytania z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np. z wyświetlacza, interfejsu użytkownika lub poprzez port komunikacyjny. </w:t>
      </w:r>
    </w:p>
    <w:p w14:paraId="088CF159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284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Tabliczka znamionowa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ma posiadać co najmniej następujące informacje: </w:t>
      </w:r>
    </w:p>
    <w:p w14:paraId="22139875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567" w:right="4176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Nazwę producenta lub znak firmowy, </w:t>
      </w:r>
    </w:p>
    <w:p w14:paraId="170AE200" w14:textId="27879BF5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567" w:right="-28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b) Określenie typu lub numer identyfikacyjny, lub inne sposoby identyfikacji umożliwiające uzyskanie stosownych informacji od producenta, </w:t>
      </w:r>
    </w:p>
    <w:p w14:paraId="178CCA1B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567" w:right="6000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c) Moc znamionową, </w:t>
      </w:r>
    </w:p>
    <w:p w14:paraId="0F3238D1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567" w:right="5558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d) Napięcie znamionowe, </w:t>
      </w:r>
    </w:p>
    <w:p w14:paraId="14BA5696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567" w:right="5073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e) Częstotliwość znamionowa, </w:t>
      </w:r>
    </w:p>
    <w:p w14:paraId="32EE49B2" w14:textId="3ECF088B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567" w:right="-28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f) Zakres regulacji współczynnika przesunięcia fazowego podstawowych harmonicznych napięcia i prądu. </w:t>
      </w:r>
    </w:p>
    <w:p w14:paraId="7A8E0428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284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Informacje te muszą być umieszczone również w instrukcji obsługi. Dodatkowo na tabliczce znamionowej powinien być umieszczony numer seryjny. </w:t>
      </w:r>
    </w:p>
    <w:p w14:paraId="35427236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84" w:right="2284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Wszystkie informacje powinny być podane w języku polskim. </w:t>
      </w:r>
    </w:p>
    <w:p w14:paraId="512448E0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284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 miejscach z dostępnymi elementami pod napięciem należy stosować etykiety ostrzegawcze. </w:t>
      </w:r>
    </w:p>
    <w:p w14:paraId="780C893F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84" w:right="705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13.2. Inne wymagania dotyczące przekazania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do eksploatacji: </w:t>
      </w:r>
    </w:p>
    <w:p w14:paraId="13FA27DB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567" w:right="-28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a) Producent musi dostarczyć instrukcję montażu zgodnie z normami i wymaganiami </w:t>
      </w:r>
    </w:p>
    <w:p w14:paraId="7ED7BAAC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567" w:right="6878" w:hanging="141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krajowymi, </w:t>
      </w:r>
    </w:p>
    <w:p w14:paraId="35214894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42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b) Urządzenia wchodzące w skład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muszą podlegać badaniom pod względem wymagań odpowiednich norm w zakresie współpracy z siecią, w przypadku braku stosownych norm wyrobu, </w:t>
      </w:r>
    </w:p>
    <w:p w14:paraId="29AA3092" w14:textId="3A98897A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426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c) Montaż musi być wykonany przez instalatorów posiadających odpowiednie i potwierdzone kwalifikacje, </w:t>
      </w:r>
    </w:p>
    <w:p w14:paraId="4827A60D" w14:textId="08DED3C2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426" w:right="-28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d) Właściciel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 musi dysponować przygotowanym przez instalatora schematem jednokresowym </w:t>
      </w:r>
      <w:proofErr w:type="spellStart"/>
      <w:r w:rsidRPr="00234096">
        <w:rPr>
          <w:rFonts w:ascii="Times New Roman" w:eastAsia="Times New Roman" w:hAnsi="Times New Roman" w:cs="Times New Roman"/>
          <w:color w:val="000000"/>
          <w:lang w:val="pl-PL"/>
        </w:rPr>
        <w:t>mikroinstalacji</w:t>
      </w:r>
      <w:proofErr w:type="spellEnd"/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, </w:t>
      </w:r>
    </w:p>
    <w:p w14:paraId="341A1F0F" w14:textId="77777777" w:rsidR="00891A81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426" w:right="-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e) Urządzenia wchodzące w skład instalacji muszą posiadać ważny certyfikat lub w okresie przejściowym deklarację zgodności o których mowa w Procedurze rejestracji i wykorzystania certyfikatów w procesie przyłączenia modułów wytwarzania energii do sieci elektroenergetycznych. </w:t>
      </w:r>
    </w:p>
    <w:p w14:paraId="69265BB0" w14:textId="77777777" w:rsidR="00891A81" w:rsidRPr="00234096" w:rsidRDefault="00891A81" w:rsidP="00891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748"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7F985596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14. Zestawienie zbiorcze wymagań i uwagi końcowe </w:t>
      </w:r>
    </w:p>
    <w:p w14:paraId="121855DA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19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Zbiorcze zestawienie wymagań dla systemów generacji w zależności o zainstalowanej mocy przedstawiono w Tabeli 2. </w:t>
      </w:r>
    </w:p>
    <w:p w14:paraId="4AA2577F" w14:textId="77777777" w:rsidR="00891A81" w:rsidRPr="00234096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-23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34096">
        <w:rPr>
          <w:rFonts w:ascii="Times New Roman" w:eastAsia="Times New Roman" w:hAnsi="Times New Roman" w:cs="Times New Roman"/>
          <w:color w:val="000000"/>
          <w:lang w:val="pl-PL"/>
        </w:rPr>
        <w:t xml:space="preserve">W przypadku wątpliwości interpretacyjnych należy wystąpić ze stosowanym zapytaniem do OSD. </w:t>
      </w:r>
    </w:p>
    <w:p w14:paraId="2C481E54" w14:textId="6D9FBE52" w:rsidR="00AB4859" w:rsidRDefault="00891A81" w:rsidP="00B4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364"/>
        <w:jc w:val="center"/>
      </w:pPr>
      <w:r>
        <w:rPr>
          <w:noProof/>
        </w:rPr>
        <w:drawing>
          <wp:inline distT="0" distB="0" distL="0" distR="0" wp14:anchorId="7185F13E" wp14:editId="4B894EC5">
            <wp:extent cx="3925720" cy="43652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9938" cy="439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859" w:rsidSect="00A1490F">
      <w:headerReference w:type="default" r:id="rId19"/>
      <w:footerReference w:type="default" r:id="rId20"/>
      <w:pgSz w:w="12240" w:h="15840"/>
      <w:pgMar w:top="1560" w:right="1440" w:bottom="1985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E2B5" w14:textId="77777777" w:rsidR="007F0C90" w:rsidRDefault="007F0C90">
      <w:pPr>
        <w:spacing w:line="240" w:lineRule="auto"/>
      </w:pPr>
      <w:r>
        <w:separator/>
      </w:r>
    </w:p>
  </w:endnote>
  <w:endnote w:type="continuationSeparator" w:id="0">
    <w:p w14:paraId="68FEF1EC" w14:textId="77777777" w:rsidR="007F0C90" w:rsidRDefault="007F0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4941" w14:textId="77777777" w:rsidR="0041080E" w:rsidRPr="003A1FF0" w:rsidRDefault="00B461EA" w:rsidP="0041080E">
    <w:pPr>
      <w:pStyle w:val="Stopka"/>
      <w:rPr>
        <w:lang w:val="pl-PL"/>
      </w:rPr>
    </w:pPr>
    <w:proofErr w:type="spellStart"/>
    <w:r w:rsidRPr="00FA6726">
      <w:rPr>
        <w:b/>
        <w:bCs/>
        <w:lang w:val="en-US"/>
      </w:rPr>
      <w:t>Fieldon</w:t>
    </w:r>
    <w:proofErr w:type="spellEnd"/>
    <w:r w:rsidRPr="00FA6726">
      <w:rPr>
        <w:b/>
        <w:bCs/>
        <w:lang w:val="en-US"/>
      </w:rPr>
      <w:t xml:space="preserve"> Investments Sp. z </w:t>
    </w:r>
    <w:proofErr w:type="spellStart"/>
    <w:r w:rsidRPr="00FA6726">
      <w:rPr>
        <w:b/>
        <w:bCs/>
        <w:lang w:val="en-US"/>
      </w:rPr>
      <w:t>o.o</w:t>
    </w:r>
    <w:proofErr w:type="spellEnd"/>
    <w:r w:rsidRPr="00FA6726">
      <w:rPr>
        <w:b/>
        <w:bCs/>
        <w:lang w:val="en-US"/>
      </w:rPr>
      <w:t xml:space="preserve">. GRYF </w:t>
    </w:r>
    <w:proofErr w:type="spellStart"/>
    <w:r w:rsidRPr="00FA6726">
      <w:rPr>
        <w:b/>
        <w:bCs/>
        <w:lang w:val="en-US"/>
      </w:rPr>
      <w:t>Sp.</w:t>
    </w:r>
    <w:r>
      <w:rPr>
        <w:b/>
        <w:bCs/>
        <w:lang w:val="en-US"/>
      </w:rPr>
      <w:t>k</w:t>
    </w:r>
    <w:proofErr w:type="spellEnd"/>
    <w:r>
      <w:rPr>
        <w:lang w:val="en-US"/>
      </w:rPr>
      <w:t>.</w:t>
    </w:r>
    <w:r w:rsidRPr="00FA6726">
      <w:rPr>
        <w:lang w:val="en-US"/>
      </w:rPr>
      <w:t xml:space="preserve">, </w:t>
    </w:r>
    <w:r>
      <w:rPr>
        <w:lang w:val="en-US"/>
      </w:rPr>
      <w:t xml:space="preserve">Pl. </w:t>
    </w:r>
    <w:r w:rsidRPr="003A1FF0">
      <w:rPr>
        <w:lang w:val="pl-PL"/>
      </w:rPr>
      <w:t>Małachowskiego 2, 00-066 Warszawa</w:t>
    </w:r>
  </w:p>
  <w:p w14:paraId="2D0FE049" w14:textId="77777777" w:rsidR="0041080E" w:rsidRPr="0024654C" w:rsidRDefault="00B461EA" w:rsidP="0041080E">
    <w:pPr>
      <w:pStyle w:val="Stopka"/>
      <w:rPr>
        <w:lang w:val="pl-PL"/>
      </w:rPr>
    </w:pPr>
    <w:r w:rsidRPr="0024654C">
      <w:rPr>
        <w:lang w:val="pl-PL"/>
      </w:rPr>
      <w:t xml:space="preserve">NIP </w:t>
    </w:r>
    <w:r w:rsidRPr="0024654C">
      <w:rPr>
        <w:rFonts w:cstheme="minorHAnsi"/>
        <w:lang w:val="pl-PL"/>
      </w:rPr>
      <w:t xml:space="preserve">584 269 75 47; </w:t>
    </w:r>
    <w:r w:rsidRPr="0024654C">
      <w:rPr>
        <w:lang w:val="pl-PL"/>
      </w:rPr>
      <w:t xml:space="preserve">REGON: </w:t>
    </w:r>
    <w:r w:rsidRPr="0024654C">
      <w:rPr>
        <w:rFonts w:cstheme="minorHAnsi"/>
        <w:lang w:val="pl-PL"/>
      </w:rPr>
      <w:t xml:space="preserve">221041730; </w:t>
    </w:r>
    <w:r w:rsidRPr="0024654C">
      <w:rPr>
        <w:lang w:val="pl-PL"/>
      </w:rPr>
      <w:t xml:space="preserve">KRS </w:t>
    </w:r>
    <w:r w:rsidRPr="0024654C">
      <w:rPr>
        <w:rFonts w:ascii="Tahoma" w:hAnsi="Tahoma" w:cs="Tahoma"/>
        <w:sz w:val="20"/>
        <w:szCs w:val="20"/>
        <w:lang w:val="pl-PL"/>
      </w:rPr>
      <w:t>0000607833</w:t>
    </w:r>
    <w:r w:rsidRPr="0024654C">
      <w:rPr>
        <w:lang w:val="pl-PL"/>
      </w:rPr>
      <w:t xml:space="preserve"> </w:t>
    </w:r>
  </w:p>
  <w:p w14:paraId="551C27A9" w14:textId="77777777" w:rsidR="0041080E" w:rsidRPr="0041080E" w:rsidRDefault="007F0C9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3E1B" w14:textId="77777777" w:rsidR="007F0C90" w:rsidRDefault="007F0C90">
      <w:pPr>
        <w:spacing w:line="240" w:lineRule="auto"/>
      </w:pPr>
      <w:r>
        <w:separator/>
      </w:r>
    </w:p>
  </w:footnote>
  <w:footnote w:type="continuationSeparator" w:id="0">
    <w:p w14:paraId="2C742739" w14:textId="77777777" w:rsidR="007F0C90" w:rsidRDefault="007F0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6290" w14:textId="77777777" w:rsidR="0041080E" w:rsidRDefault="00B461E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E1327" wp14:editId="6321B661">
          <wp:simplePos x="0" y="0"/>
          <wp:positionH relativeFrom="margin">
            <wp:posOffset>3912235</wp:posOffset>
          </wp:positionH>
          <wp:positionV relativeFrom="paragraph">
            <wp:posOffset>-73660</wp:posOffset>
          </wp:positionV>
          <wp:extent cx="1969135" cy="123825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1"/>
    <w:rsid w:val="00225642"/>
    <w:rsid w:val="007F0C90"/>
    <w:rsid w:val="00891A81"/>
    <w:rsid w:val="00914CB8"/>
    <w:rsid w:val="00A1490F"/>
    <w:rsid w:val="00B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7FED"/>
  <w15:chartTrackingRefBased/>
  <w15:docId w15:val="{CB984B3B-8166-47CB-A6FF-58D0A5F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81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91A81"/>
    <w:rPr>
      <w:rFonts w:ascii="CIDFont+F2" w:hAnsi="CIDFont+F2" w:hint="default"/>
      <w:b w:val="0"/>
      <w:bCs w:val="0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1A8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A81"/>
    <w:rPr>
      <w:rFonts w:ascii="Arial" w:eastAsia="Arial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891A8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A81"/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936D-F57E-40A0-8BDE-C76A9771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2578</Words>
  <Characters>14699</Characters>
  <Application>Microsoft Office Word</Application>
  <DocSecurity>0</DocSecurity>
  <Lines>122</Lines>
  <Paragraphs>34</Paragraphs>
  <ScaleCrop>false</ScaleCrop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Wojciech</dc:creator>
  <cp:keywords/>
  <dc:description/>
  <cp:lastModifiedBy>Marek Wojciech</cp:lastModifiedBy>
  <cp:revision>3</cp:revision>
  <dcterms:created xsi:type="dcterms:W3CDTF">2020-08-20T10:50:00Z</dcterms:created>
  <dcterms:modified xsi:type="dcterms:W3CDTF">2020-08-20T12:42:00Z</dcterms:modified>
</cp:coreProperties>
</file>